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河南省红十字会信息公开保密审查制度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</w:pPr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（新制定）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第一条  为确保信息公开真实、及时、有效、安全，依据《中华人民共和国保守国家秘密法》、《中华人民共和国政府信息公开工作条例》等法律法规，结合我会实际，制定本制度。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第二条  信息公开保密审查是指，在我会信息公开前，对信息内容是否涉及国家秘密、商业秘密、个人隐私或其他公开后可能危及国家安全、公共安全、经济安全和社会稳定进行审查。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第三条  信息公开保密审查应遵循“谁公开、谁负责；谁审查、谁负责；先审查、后公开”的原则。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第四条  本会信息公开保密审查工作由办公室负责。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第五条  信息公开的保密审查应依照以下程序进行：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(一)处室提出拟公开的信息；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(二)处室负责人提出保密审查申请；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(三)会保密委员会根据信息内容提出审核意见；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(四)分管领导审核批准，重要事项报主要领导审批；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(五)办公室对信息进行发布。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第六条  未经授权和保密审查的信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息不得在本会网站刊登或向社会网站发布信息。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第七条  我会与其他单位共同形成的政府信息公开时，须经各方同意后方可发布。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第八条  已确定为国家秘密但符合法定解密条件并拟公开政府信息，应在保密审查后，报上级保密部门批准备案后公开。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C02"/>
    <w:rsid w:val="00222C02"/>
    <w:rsid w:val="00395D7E"/>
    <w:rsid w:val="00870EA0"/>
    <w:rsid w:val="009E7F0B"/>
    <w:rsid w:val="00B456A1"/>
    <w:rsid w:val="00EE7DEB"/>
    <w:rsid w:val="3B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40</TotalTime>
  <ScaleCrop>false</ScaleCrop>
  <LinksUpToDate>false</LinksUpToDate>
  <CharactersWithSpaces>506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2021-03-18T13:02:00Z</dcterms:created>
  <dc:creator>Windows 用户</dc:creator>
  <cp:lastModifiedBy>huanghe</cp:lastModifiedBy>
  <cp:lastPrinted>2021-03-19T09:43:27Z</cp:lastPrinted>
  <dcterms:modified xsi:type="dcterms:W3CDTF">2021-03-19T09:44:30Z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